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119FC" w:rsidRPr="005119FC" w:rsidTr="005119FC">
        <w:trPr>
          <w:tblCellSpacing w:w="0" w:type="dxa"/>
          <w:jc w:val="center"/>
        </w:trPr>
        <w:tc>
          <w:tcPr>
            <w:tcW w:w="0" w:type="auto"/>
            <w:shd w:val="clear" w:color="auto" w:fill="EEEEEE"/>
            <w:tcMar>
              <w:top w:w="555" w:type="dxa"/>
              <w:left w:w="0" w:type="dxa"/>
              <w:bottom w:w="555" w:type="dxa"/>
              <w:right w:w="0" w:type="dxa"/>
            </w:tcMar>
            <w:vAlign w:val="center"/>
            <w:hideMark/>
          </w:tcPr>
          <w:p w:rsidR="005119FC" w:rsidRPr="005119FC" w:rsidRDefault="005119FC" w:rsidP="005119FC">
            <w:pPr>
              <w:spacing w:after="0" w:line="240" w:lineRule="auto"/>
              <w:jc w:val="center"/>
              <w:rPr>
                <w:rFonts w:ascii="Times New Roman" w:eastAsia="Times New Roman" w:hAnsi="Times New Roman" w:cs="Times New Roman"/>
                <w:sz w:val="24"/>
                <w:szCs w:val="24"/>
                <w:lang w:eastAsia="fr-FR"/>
              </w:rPr>
            </w:pPr>
            <w:r w:rsidRPr="005119FC">
              <w:rPr>
                <w:rFonts w:ascii="Times New Roman" w:eastAsia="Times New Roman" w:hAnsi="Times New Roman" w:cs="Times New Roman"/>
                <w:sz w:val="24"/>
                <w:szCs w:val="24"/>
                <w:lang w:eastAsia="fr-FR"/>
              </w:rPr>
              <w:fldChar w:fldCharType="begin"/>
            </w:r>
            <w:r w:rsidRPr="005119FC">
              <w:rPr>
                <w:rFonts w:ascii="Times New Roman" w:eastAsia="Times New Roman" w:hAnsi="Times New Roman" w:cs="Times New Roman"/>
                <w:sz w:val="24"/>
                <w:szCs w:val="24"/>
                <w:lang w:eastAsia="fr-FR"/>
              </w:rPr>
              <w:instrText xml:space="preserve"> HYPERLINK "http://email.eglise.catholique.fr/nl/sz6r/19yqj.html" </w:instrText>
            </w:r>
            <w:r w:rsidRPr="005119FC">
              <w:rPr>
                <w:rFonts w:ascii="Times New Roman" w:eastAsia="Times New Roman" w:hAnsi="Times New Roman" w:cs="Times New Roman"/>
                <w:sz w:val="24"/>
                <w:szCs w:val="24"/>
                <w:lang w:eastAsia="fr-FR"/>
              </w:rPr>
              <w:fldChar w:fldCharType="separate"/>
            </w:r>
            <w:r w:rsidRPr="005119FC">
              <w:rPr>
                <w:rFonts w:ascii="Arial" w:eastAsia="Times New Roman" w:hAnsi="Arial" w:cs="Arial"/>
                <w:color w:val="000000"/>
                <w:sz w:val="17"/>
                <w:szCs w:val="17"/>
                <w:u w:val="single"/>
                <w:bdr w:val="none" w:sz="0" w:space="0" w:color="auto" w:frame="1"/>
                <w:lang w:eastAsia="fr-FR"/>
              </w:rPr>
              <w:t>Voir la version en ligne</w:t>
            </w:r>
            <w:r w:rsidRPr="005119FC">
              <w:rPr>
                <w:rFonts w:ascii="Times New Roman" w:eastAsia="Times New Roman" w:hAnsi="Times New Roman" w:cs="Times New Roman"/>
                <w:sz w:val="24"/>
                <w:szCs w:val="24"/>
                <w:lang w:eastAsia="fr-FR"/>
              </w:rPr>
              <w:fldChar w:fldCharType="end"/>
            </w:r>
          </w:p>
          <w:tbl>
            <w:tblPr>
              <w:tblW w:w="9000" w:type="dxa"/>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30"/>
            </w:tblGrid>
            <w:tr w:rsidR="005119FC" w:rsidRPr="005119FC">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119FC" w:rsidRPr="005119FC">
                    <w:trPr>
                      <w:tblCellSpacing w:w="0" w:type="dxa"/>
                    </w:trPr>
                    <w:tc>
                      <w:tcPr>
                        <w:tcW w:w="0" w:type="auto"/>
                        <w:vAlign w:val="center"/>
                        <w:hideMark/>
                      </w:tcPr>
                      <w:p w:rsidR="005119FC" w:rsidRPr="005119FC" w:rsidRDefault="005119FC" w:rsidP="005119F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715000" cy="965200"/>
                              <wp:effectExtent l="0" t="0" r="0" b="6350"/>
                              <wp:docPr id="1" name="Image 1" descr="http://email.eglise.catholique.fr/img/sz6r/1ypy9/s1p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ail.eglise.catholique.fr/img/sz6r/1ypy9/s1px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65200"/>
                                      </a:xfrm>
                                      <a:prstGeom prst="rect">
                                        <a:avLst/>
                                      </a:prstGeom>
                                      <a:noFill/>
                                      <a:ln>
                                        <a:noFill/>
                                      </a:ln>
                                    </pic:spPr>
                                  </pic:pic>
                                </a:graphicData>
                              </a:graphic>
                            </wp:inline>
                          </w:drawing>
                        </w:r>
                      </w:p>
                    </w:tc>
                  </w:tr>
                </w:tbl>
                <w:p w:rsidR="005119FC" w:rsidRPr="005119FC" w:rsidRDefault="005119FC" w:rsidP="005119FC">
                  <w:pPr>
                    <w:spacing w:after="0" w:line="240" w:lineRule="auto"/>
                    <w:rPr>
                      <w:rFonts w:ascii="Arial" w:eastAsia="Times New Roman" w:hAnsi="Arial" w:cs="Arial"/>
                      <w:vanish/>
                      <w:color w:val="444444"/>
                      <w:sz w:val="18"/>
                      <w:szCs w:val="18"/>
                      <w:lang w:eastAsia="fr-FR"/>
                    </w:rPr>
                  </w:pPr>
                </w:p>
                <w:tbl>
                  <w:tblPr>
                    <w:tblW w:w="5000" w:type="pct"/>
                    <w:tblCellMar>
                      <w:left w:w="0" w:type="dxa"/>
                      <w:right w:w="0" w:type="dxa"/>
                    </w:tblCellMar>
                    <w:tblLook w:val="04A0" w:firstRow="1" w:lastRow="0" w:firstColumn="1" w:lastColumn="0" w:noHBand="0" w:noVBand="1"/>
                  </w:tblPr>
                  <w:tblGrid>
                    <w:gridCol w:w="9000"/>
                  </w:tblGrid>
                  <w:tr w:rsidR="005119FC" w:rsidRPr="005119FC">
                    <w:tc>
                      <w:tcPr>
                        <w:tcW w:w="0" w:type="auto"/>
                        <w:tcBorders>
                          <w:top w:val="nil"/>
                          <w:left w:val="nil"/>
                          <w:bottom w:val="nil"/>
                          <w:right w:val="nil"/>
                        </w:tcBorders>
                        <w:shd w:val="clear" w:color="auto" w:fill="FFFFFF"/>
                        <w:tcMar>
                          <w:top w:w="75" w:type="dxa"/>
                          <w:left w:w="0" w:type="dxa"/>
                          <w:bottom w:w="75" w:type="dxa"/>
                          <w:right w:w="0" w:type="dxa"/>
                        </w:tcMar>
                        <w:vAlign w:val="center"/>
                        <w:hideMark/>
                      </w:tcPr>
                      <w:tbl>
                        <w:tblPr>
                          <w:tblW w:w="0" w:type="auto"/>
                          <w:shd w:val="clear" w:color="auto" w:fill="FFFFFF"/>
                          <w:tblCellMar>
                            <w:left w:w="0" w:type="dxa"/>
                            <w:right w:w="0" w:type="dxa"/>
                          </w:tblCellMar>
                          <w:tblLook w:val="04A0" w:firstRow="1" w:lastRow="0" w:firstColumn="1" w:lastColumn="0" w:noHBand="0" w:noVBand="1"/>
                        </w:tblPr>
                        <w:tblGrid>
                          <w:gridCol w:w="6"/>
                          <w:gridCol w:w="8700"/>
                        </w:tblGrid>
                        <w:tr w:rsidR="005119FC" w:rsidRPr="005119FC">
                          <w:tc>
                            <w:tcPr>
                              <w:tcW w:w="0" w:type="auto"/>
                              <w:shd w:val="clear" w:color="auto" w:fill="FFFFFF"/>
                              <w:vAlign w:val="center"/>
                              <w:hideMark/>
                            </w:tcPr>
                            <w:p w:rsidR="005119FC" w:rsidRPr="005119FC" w:rsidRDefault="005119FC" w:rsidP="005119FC">
                              <w:pPr>
                                <w:spacing w:after="0" w:line="240" w:lineRule="auto"/>
                                <w:rPr>
                                  <w:rFonts w:ascii="Arial" w:eastAsia="Times New Roman" w:hAnsi="Arial" w:cs="Arial"/>
                                  <w:color w:val="444444"/>
                                  <w:sz w:val="18"/>
                                  <w:szCs w:val="18"/>
                                  <w:lang w:eastAsia="fr-FR"/>
                                </w:rPr>
                              </w:pPr>
                            </w:p>
                          </w:tc>
                          <w:tc>
                            <w:tcPr>
                              <w:tcW w:w="8700" w:type="dxa"/>
                              <w:shd w:val="clear" w:color="auto" w:fill="FFFFFF"/>
                              <w:tcMar>
                                <w:top w:w="75" w:type="dxa"/>
                                <w:left w:w="0" w:type="dxa"/>
                                <w:bottom w:w="75" w:type="dxa"/>
                                <w:right w:w="0" w:type="dxa"/>
                              </w:tcMar>
                              <w:hideMark/>
                            </w:tcPr>
                            <w:tbl>
                              <w:tblPr>
                                <w:tblW w:w="8475" w:type="dxa"/>
                                <w:shd w:val="clear" w:color="auto" w:fill="FFFFFF"/>
                                <w:tblCellMar>
                                  <w:left w:w="0" w:type="dxa"/>
                                  <w:right w:w="0" w:type="dxa"/>
                                </w:tblCellMar>
                                <w:tblLook w:val="04A0" w:firstRow="1" w:lastRow="0" w:firstColumn="1" w:lastColumn="0" w:noHBand="0" w:noVBand="1"/>
                              </w:tblPr>
                              <w:tblGrid>
                                <w:gridCol w:w="8475"/>
                              </w:tblGrid>
                              <w:tr w:rsidR="005119FC" w:rsidRPr="005119FC">
                                <w:tc>
                                  <w:tcPr>
                                    <w:tcW w:w="0" w:type="auto"/>
                                    <w:tcBorders>
                                      <w:top w:val="nil"/>
                                      <w:left w:val="nil"/>
                                      <w:bottom w:val="nil"/>
                                      <w:right w:val="nil"/>
                                    </w:tcBorders>
                                    <w:shd w:val="clear" w:color="auto" w:fill="FFFFFF"/>
                                    <w:tcMar>
                                      <w:top w:w="75" w:type="dxa"/>
                                      <w:left w:w="75" w:type="dxa"/>
                                      <w:bottom w:w="75" w:type="dxa"/>
                                      <w:right w:w="0" w:type="dxa"/>
                                    </w:tcMar>
                                    <w:vAlign w:val="center"/>
                                    <w:hideMark/>
                                  </w:tcPr>
                                  <w:p w:rsidR="005119FC" w:rsidRPr="005119FC" w:rsidRDefault="005119FC" w:rsidP="005119FC">
                                    <w:pPr>
                                      <w:spacing w:after="150" w:line="240" w:lineRule="auto"/>
                                      <w:jc w:val="center"/>
                                      <w:outlineLvl w:val="3"/>
                                      <w:rPr>
                                        <w:rFonts w:ascii="Arial" w:eastAsia="Times New Roman" w:hAnsi="Arial" w:cs="Arial"/>
                                        <w:b/>
                                        <w:bCs/>
                                        <w:color w:val="444444"/>
                                        <w:sz w:val="18"/>
                                        <w:szCs w:val="18"/>
                                        <w:lang w:eastAsia="fr-FR"/>
                                      </w:rPr>
                                    </w:pPr>
                                    <w:r w:rsidRPr="005119FC">
                                      <w:rPr>
                                        <w:rFonts w:ascii="Arial" w:eastAsia="Times New Roman" w:hAnsi="Arial" w:cs="Arial"/>
                                        <w:b/>
                                        <w:bCs/>
                                        <w:color w:val="444444"/>
                                        <w:sz w:val="18"/>
                                        <w:szCs w:val="18"/>
                                        <w:lang w:eastAsia="fr-FR"/>
                                      </w:rPr>
                                      <w:t>Divorcer sans juge : un projet à l’encontre de l’intérêt des familles et de la société</w:t>
                                    </w:r>
                                  </w:p>
                                  <w:p w:rsidR="005119FC" w:rsidRPr="005119FC" w:rsidRDefault="005119FC" w:rsidP="005119FC">
                                    <w:pPr>
                                      <w:spacing w:after="0" w:line="240" w:lineRule="auto"/>
                                      <w:jc w:val="right"/>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Paris, jeudi 12 mai 2016</w:t>
                                    </w:r>
                                  </w:p>
                                  <w:p w:rsidR="005119FC" w:rsidRPr="005119FC" w:rsidRDefault="005119FC" w:rsidP="005119FC">
                                    <w:pPr>
                                      <w:spacing w:after="0" w:line="240" w:lineRule="auto"/>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br/>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b/>
                                        <w:bCs/>
                                        <w:i/>
                                        <w:iCs/>
                                        <w:color w:val="444444"/>
                                        <w:sz w:val="18"/>
                                        <w:szCs w:val="18"/>
                                        <w:lang w:eastAsia="fr-FR"/>
                                      </w:rPr>
                                      <w:t>Un amendement au projet de loi relatif à la justice du XXIème siècle propose que le divorce par consentement mutuel puisse se passer de juge aux affaires familiales si les deux conjoints en sont d’accord. Ce divorce serait établi par acte sous seing privé puis déposé au rang des minutes d’un notaire</w:t>
                                    </w:r>
                                    <w:r w:rsidRPr="005119FC">
                                      <w:rPr>
                                        <w:rFonts w:ascii="Arial" w:eastAsia="Times New Roman" w:hAnsi="Arial" w:cs="Arial"/>
                                        <w:b/>
                                        <w:bCs/>
                                        <w:color w:val="444444"/>
                                        <w:sz w:val="18"/>
                                        <w:szCs w:val="18"/>
                                        <w:lang w:eastAsia="fr-FR"/>
                                      </w:rPr>
                                      <w:t xml:space="preserve">. </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Les objectifs avancés pour cette réforme sont principalement la simplification pour les conjoints et le désengorgement des tribunaux.</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À la suite d’autres acteurs de la vie sociale, la Conférence des évêques de France s’interroge sur l’intérêt d’une telle mesure élaborée sans aucune concertation.</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b/>
                                        <w:bCs/>
                                        <w:i/>
                                        <w:iCs/>
                                        <w:color w:val="444444"/>
                                        <w:sz w:val="18"/>
                                        <w:szCs w:val="18"/>
                                        <w:lang w:eastAsia="fr-FR"/>
                                      </w:rPr>
                                      <w:t>Une simplification illusoire</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Aujourd’hui le divorce par consentement mutuel est une procédure simple. Il suffit d’une audience devant le juge aux affaires familiales à partir du dépôt de la requête. La question de la rapidité, aspect important de la simplification, se pose mais elle ne se limite pas à la question de la procédure. Une séparation après des années de vie commune n’est de fait jamais simple. L’avantage de l’intervention du juge réside dans le fait qu’il vérifie le consentement réel des conjoints, l’équilibre des accords et tranche les difficultés en appliquant la loi. Il fait ainsi gagner du temps aux justiciables. Alors que le notaire n’étant pas chargé de telles vérifications, de nombreux contentieux risquent de naître après le divorce pour contester des accords déséquilibrés</w:t>
                                    </w:r>
                                    <w:r w:rsidRPr="005119FC">
                                      <w:rPr>
                                        <w:rFonts w:ascii="Arial" w:eastAsia="Times New Roman" w:hAnsi="Arial" w:cs="Arial"/>
                                        <w:i/>
                                        <w:iCs/>
                                        <w:color w:val="444444"/>
                                        <w:sz w:val="18"/>
                                        <w:szCs w:val="18"/>
                                        <w:lang w:eastAsia="fr-FR"/>
                                      </w:rPr>
                                      <w:t>.</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b/>
                                        <w:bCs/>
                                        <w:i/>
                                        <w:iCs/>
                                        <w:color w:val="444444"/>
                                        <w:sz w:val="18"/>
                                        <w:szCs w:val="18"/>
                                        <w:lang w:eastAsia="fr-FR"/>
                                      </w:rPr>
                                      <w:t>La protection des plus faibles moins assurée</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Aujourd’hui, le juge permet de veiller à l’intérêt de chaque partie, et de sortir du rapport de force, qui peut continuer à exister même dans un divorce à l’amiable. Il peut ne pas homologuer la convention présentée par les époux s’il la juge défavorable à l’une des parties ou contraire à l’intérêt des enfants. Le système actuel vise à protéger le plus faible et à garantir l’équité.</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La réforme ferait reculer la protection législative des plus faibles : enfants ou l’un des conjoints. Certains arrangements actuellement rejetés par les juges reverraient le jour, au plus grand préjudice de certains conjoints fragilisés, sous emprise ou moins avertis.</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 xml:space="preserve">Le sort des enfants mineurs est actuellement fixé par décision de justice, laquelle peut confirmer les mesures amiables prises par les parents. C’est l’intérêt de l’enfant qui guide le juge, le divorce de ses </w:t>
                                    </w:r>
                                    <w:r w:rsidRPr="005119FC">
                                      <w:rPr>
                                        <w:rFonts w:ascii="Arial" w:eastAsia="Times New Roman" w:hAnsi="Arial" w:cs="Arial"/>
                                        <w:color w:val="444444"/>
                                        <w:sz w:val="18"/>
                                        <w:szCs w:val="18"/>
                                        <w:lang w:eastAsia="fr-FR"/>
                                      </w:rPr>
                                      <w:lastRenderedPageBreak/>
                                      <w:t>parents ayant un impact réel sur sa vie. Le mode de prise en charge des enfants est contrôlé réellement dans les conventions de divorce, les juges chassent impitoyablement les résidences alternées aberrantes ou les accords ne prévoyant pas une pension alimentaire sérieuse. Qui prendra la défense des enfants avec la réforme envisagée ?</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L’interdiction législative de recourir à une telle forme de divorce si l’enfant demande à être entendu par le juge est peu réaliste : à qui dira-t-il qu’il veut être entendu ? Comment garantir que les parents ne le dissuaderont pas en pensant bien faire sans doute ? Comment faire porter la responsabilité d’un tel choix à un mineur ? Et si d’aventure il le faisait, comment concrètement empêcher les parents de continuer leur procédure non judiciaire ?</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 xml:space="preserve">Dans l’exhortation </w:t>
                                    </w:r>
                                    <w:proofErr w:type="spellStart"/>
                                    <w:r w:rsidRPr="005119FC">
                                      <w:rPr>
                                        <w:rFonts w:ascii="Arial" w:eastAsia="Times New Roman" w:hAnsi="Arial" w:cs="Arial"/>
                                        <w:i/>
                                        <w:iCs/>
                                        <w:color w:val="444444"/>
                                        <w:sz w:val="18"/>
                                        <w:szCs w:val="18"/>
                                        <w:lang w:eastAsia="fr-FR"/>
                                      </w:rPr>
                                      <w:t>Amoris</w:t>
                                    </w:r>
                                    <w:proofErr w:type="spellEnd"/>
                                    <w:r w:rsidRPr="005119FC">
                                      <w:rPr>
                                        <w:rFonts w:ascii="Arial" w:eastAsia="Times New Roman" w:hAnsi="Arial" w:cs="Arial"/>
                                        <w:i/>
                                        <w:iCs/>
                                        <w:color w:val="444444"/>
                                        <w:sz w:val="18"/>
                                        <w:szCs w:val="18"/>
                                        <w:lang w:eastAsia="fr-FR"/>
                                      </w:rPr>
                                      <w:t xml:space="preserve"> Laetitia</w:t>
                                    </w:r>
                                    <w:r w:rsidRPr="005119FC">
                                      <w:rPr>
                                        <w:rFonts w:ascii="Arial" w:eastAsia="Times New Roman" w:hAnsi="Arial" w:cs="Arial"/>
                                        <w:color w:val="444444"/>
                                        <w:sz w:val="18"/>
                                        <w:szCs w:val="18"/>
                                        <w:lang w:eastAsia="fr-FR"/>
                                      </w:rPr>
                                      <w:t xml:space="preserve">, le pape François rappelle qu’ « </w:t>
                                    </w:r>
                                    <w:r w:rsidRPr="005119FC">
                                      <w:rPr>
                                        <w:rFonts w:ascii="Arial" w:eastAsia="Times New Roman" w:hAnsi="Arial" w:cs="Arial"/>
                                        <w:i/>
                                        <w:iCs/>
                                        <w:color w:val="444444"/>
                                        <w:sz w:val="18"/>
                                        <w:szCs w:val="18"/>
                                        <w:lang w:eastAsia="fr-FR"/>
                                      </w:rPr>
                                      <w:t>au-delà de toutes les considérations qu’on voudra avancer, ils [les enfants] sont la première préoccupation, qui ne doit être occultée par aucun intérêt ou objectif</w:t>
                                    </w:r>
                                    <w:r w:rsidRPr="005119FC">
                                      <w:rPr>
                                        <w:rFonts w:ascii="Arial" w:eastAsia="Times New Roman" w:hAnsi="Arial" w:cs="Arial"/>
                                        <w:color w:val="444444"/>
                                        <w:sz w:val="18"/>
                                        <w:szCs w:val="18"/>
                                        <w:lang w:eastAsia="fr-FR"/>
                                      </w:rPr>
                                      <w:t xml:space="preserve"> » (n°245).</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b/>
                                        <w:bCs/>
                                        <w:i/>
                                        <w:iCs/>
                                        <w:color w:val="444444"/>
                                        <w:sz w:val="18"/>
                                        <w:szCs w:val="18"/>
                                        <w:lang w:eastAsia="fr-FR"/>
                                      </w:rPr>
                                      <w:t>Des économies peu assurées</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i/>
                                        <w:iCs/>
                                        <w:color w:val="444444"/>
                                        <w:sz w:val="18"/>
                                        <w:szCs w:val="18"/>
                                        <w:lang w:eastAsia="fr-FR"/>
                                      </w:rPr>
                                      <w:t xml:space="preserve">En l’état actuel les deux conjoints peuvent avoir un avocat commun. La réforme </w:t>
                                    </w:r>
                                    <w:r w:rsidRPr="005119FC">
                                      <w:rPr>
                                        <w:rFonts w:ascii="Arial" w:eastAsia="Times New Roman" w:hAnsi="Arial" w:cs="Arial"/>
                                        <w:color w:val="444444"/>
                                        <w:sz w:val="18"/>
                                        <w:szCs w:val="18"/>
                                        <w:lang w:eastAsia="fr-FR"/>
                                      </w:rPr>
                                      <w:t>exige que chaque époux ait son avocat, le coût sera mathématiquement multiplié. On peut aussi s’interroger sur la rémunération réelle des notaires. Le coût final sera plus élevé pour les familles.</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Quant à l’économie budgétaire, elle est hypothétique. L’éventuel contentieux après le divorce aura un coût, sans oublier le paiement des deux avocats en cas d’aide juridictionnelle. Il est aussi à craindre que nombre de divorces sans juge ne prévoient pas de pension alimentaire, le parent isolé touchant alors l’allocation de soutien familial au plus grand dam de l’équilibre des comptes des Caisses d’Allocations Familiales.</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b/>
                                        <w:bCs/>
                                        <w:i/>
                                        <w:iCs/>
                                        <w:color w:val="444444"/>
                                        <w:sz w:val="18"/>
                                        <w:szCs w:val="18"/>
                                        <w:lang w:eastAsia="fr-FR"/>
                                      </w:rPr>
                                      <w:t>La dimension symbolique de la mesure</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Le mariage est une institution au croisement de l’intime et du public. Notre société s’honore de conserver cette double dimension, que révèle la célébration en mairie devant témoins. Le divorce sans juge occulterait ce caractère institutionnel du mariage au profit d’un caractère contractuel.</w:t>
                                    </w:r>
                                  </w:p>
                                  <w:p w:rsidR="005119FC" w:rsidRPr="005119FC" w:rsidRDefault="005119FC" w:rsidP="005119FC">
                                    <w:pPr>
                                      <w:spacing w:after="150" w:line="312" w:lineRule="atLeast"/>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t>Comme le mariage, le divorce est une réalité de notre société, il est de notre responsabilité commune d’accompagner au mieux les conjoints. Il faut au contraire donner plus de moyens aux magistrats pour qu’ils assurent la protection juridique des plus faibles, et soutiennent les familles dans leur vie ordinaire. Car prendre soin des familles, c’est prendre soin de la société.</w:t>
                                    </w:r>
                                  </w:p>
                                  <w:p w:rsidR="005119FC" w:rsidRPr="005119FC" w:rsidRDefault="005119FC" w:rsidP="005119FC">
                                    <w:pPr>
                                      <w:spacing w:after="150" w:line="312" w:lineRule="atLeast"/>
                                      <w:jc w:val="right"/>
                                      <w:rPr>
                                        <w:rFonts w:ascii="Arial" w:eastAsia="Times New Roman" w:hAnsi="Arial" w:cs="Arial"/>
                                        <w:color w:val="444444"/>
                                        <w:sz w:val="18"/>
                                        <w:szCs w:val="18"/>
                                        <w:lang w:eastAsia="fr-FR"/>
                                      </w:rPr>
                                    </w:pPr>
                                    <w:r w:rsidRPr="005119FC">
                                      <w:rPr>
                                        <w:rFonts w:ascii="Arial" w:eastAsia="Times New Roman" w:hAnsi="Arial" w:cs="Arial"/>
                                        <w:b/>
                                        <w:bCs/>
                                        <w:color w:val="444444"/>
                                        <w:sz w:val="18"/>
                                        <w:szCs w:val="18"/>
                                        <w:lang w:eastAsia="fr-FR"/>
                                      </w:rPr>
                                      <w:t xml:space="preserve">Mgr Jean-Luc </w:t>
                                    </w:r>
                                    <w:proofErr w:type="spellStart"/>
                                    <w:r w:rsidRPr="005119FC">
                                      <w:rPr>
                                        <w:rFonts w:ascii="Arial" w:eastAsia="Times New Roman" w:hAnsi="Arial" w:cs="Arial"/>
                                        <w:b/>
                                        <w:bCs/>
                                        <w:color w:val="444444"/>
                                        <w:sz w:val="18"/>
                                        <w:szCs w:val="18"/>
                                        <w:lang w:eastAsia="fr-FR"/>
                                      </w:rPr>
                                      <w:t>Brunin</w:t>
                                    </w:r>
                                    <w:proofErr w:type="spellEnd"/>
                                    <w:r w:rsidRPr="005119FC">
                                      <w:rPr>
                                        <w:rFonts w:ascii="Arial" w:eastAsia="Times New Roman" w:hAnsi="Arial" w:cs="Arial"/>
                                        <w:color w:val="444444"/>
                                        <w:sz w:val="18"/>
                                        <w:szCs w:val="18"/>
                                        <w:lang w:eastAsia="fr-FR"/>
                                      </w:rPr>
                                      <w:br/>
                                      <w:t>Évêque du Havre</w:t>
                                    </w:r>
                                    <w:r w:rsidRPr="005119FC">
                                      <w:rPr>
                                        <w:rFonts w:ascii="Arial" w:eastAsia="Times New Roman" w:hAnsi="Arial" w:cs="Arial"/>
                                        <w:color w:val="444444"/>
                                        <w:sz w:val="18"/>
                                        <w:szCs w:val="18"/>
                                        <w:lang w:eastAsia="fr-FR"/>
                                      </w:rPr>
                                      <w:br/>
                                      <w:t>Président du Conseil famille et société</w:t>
                                    </w:r>
                                  </w:p>
                                  <w:p w:rsidR="005119FC" w:rsidRPr="005119FC" w:rsidRDefault="005119FC" w:rsidP="005119FC">
                                    <w:pPr>
                                      <w:spacing w:after="0" w:line="240" w:lineRule="auto"/>
                                      <w:jc w:val="both"/>
                                      <w:rPr>
                                        <w:rFonts w:ascii="Arial" w:eastAsia="Times New Roman" w:hAnsi="Arial" w:cs="Arial"/>
                                        <w:color w:val="444444"/>
                                        <w:sz w:val="18"/>
                                        <w:szCs w:val="18"/>
                                        <w:lang w:eastAsia="fr-FR"/>
                                      </w:rPr>
                                    </w:pPr>
                                    <w:r w:rsidRPr="005119FC">
                                      <w:rPr>
                                        <w:rFonts w:ascii="Arial" w:eastAsia="Times New Roman" w:hAnsi="Arial" w:cs="Arial"/>
                                        <w:color w:val="444444"/>
                                        <w:sz w:val="18"/>
                                        <w:szCs w:val="18"/>
                                        <w:lang w:eastAsia="fr-FR"/>
                                      </w:rPr>
                                      <w:br/>
                                    </w:r>
                                    <w:r w:rsidRPr="005119FC">
                                      <w:rPr>
                                        <w:rFonts w:ascii="Arial" w:eastAsia="Times New Roman" w:hAnsi="Arial" w:cs="Arial"/>
                                        <w:b/>
                                        <w:bCs/>
                                        <w:color w:val="000000"/>
                                        <w:sz w:val="18"/>
                                        <w:szCs w:val="18"/>
                                        <w:lang w:eastAsia="fr-FR"/>
                                      </w:rPr>
                                      <w:t>Relations médias</w:t>
                                    </w:r>
                                    <w:r w:rsidRPr="005119FC">
                                      <w:rPr>
                                        <w:rFonts w:ascii="Arial" w:eastAsia="Times New Roman" w:hAnsi="Arial" w:cs="Arial"/>
                                        <w:color w:val="000000"/>
                                        <w:sz w:val="18"/>
                                        <w:szCs w:val="18"/>
                                        <w:lang w:eastAsia="fr-FR"/>
                                      </w:rPr>
                                      <w:t xml:space="preserve"> : Constance </w:t>
                                    </w:r>
                                    <w:proofErr w:type="spellStart"/>
                                    <w:r w:rsidRPr="005119FC">
                                      <w:rPr>
                                        <w:rFonts w:ascii="Arial" w:eastAsia="Times New Roman" w:hAnsi="Arial" w:cs="Arial"/>
                                        <w:color w:val="000000"/>
                                        <w:sz w:val="18"/>
                                        <w:szCs w:val="18"/>
                                        <w:lang w:eastAsia="fr-FR"/>
                                      </w:rPr>
                                      <w:t>Pluviaud</w:t>
                                    </w:r>
                                    <w:proofErr w:type="spellEnd"/>
                                    <w:r w:rsidRPr="005119FC">
                                      <w:rPr>
                                        <w:rFonts w:ascii="Arial" w:eastAsia="Times New Roman" w:hAnsi="Arial" w:cs="Arial"/>
                                        <w:color w:val="000000"/>
                                        <w:sz w:val="18"/>
                                        <w:szCs w:val="18"/>
                                        <w:lang w:eastAsia="fr-FR"/>
                                      </w:rPr>
                                      <w:br/>
                                    </w:r>
                                    <w:hyperlink r:id="rId6" w:history="1">
                                      <w:r w:rsidRPr="005119FC">
                                        <w:rPr>
                                          <w:rFonts w:ascii="Arial" w:eastAsia="Times New Roman" w:hAnsi="Arial" w:cs="Arial"/>
                                          <w:color w:val="0033CC"/>
                                          <w:sz w:val="18"/>
                                          <w:szCs w:val="18"/>
                                          <w:u w:val="single"/>
                                          <w:bdr w:val="none" w:sz="0" w:space="0" w:color="auto" w:frame="1"/>
                                          <w:lang w:eastAsia="fr-FR"/>
                                        </w:rPr>
                                        <w:t>01 72 36 68 42 – 06 26</w:t>
                                      </w:r>
                                    </w:hyperlink>
                                    <w:r w:rsidRPr="005119FC">
                                      <w:rPr>
                                        <w:rFonts w:ascii="Arial" w:eastAsia="Times New Roman" w:hAnsi="Arial" w:cs="Arial"/>
                                        <w:color w:val="000000"/>
                                        <w:sz w:val="18"/>
                                        <w:szCs w:val="18"/>
                                        <w:lang w:eastAsia="fr-FR"/>
                                      </w:rPr>
                                      <w:t xml:space="preserve"> 12 65 07 – </w:t>
                                    </w:r>
                                    <w:hyperlink r:id="rId7" w:history="1">
                                      <w:r w:rsidRPr="005119FC">
                                        <w:rPr>
                                          <w:rFonts w:ascii="Arial" w:eastAsia="Times New Roman" w:hAnsi="Arial" w:cs="Arial"/>
                                          <w:color w:val="0033CC"/>
                                          <w:sz w:val="18"/>
                                          <w:szCs w:val="18"/>
                                          <w:u w:val="single"/>
                                          <w:bdr w:val="none" w:sz="0" w:space="0" w:color="auto" w:frame="1"/>
                                          <w:lang w:eastAsia="fr-FR"/>
                                        </w:rPr>
                                        <w:t>constance.pluviaud@cef.fr</w:t>
                                      </w:r>
                                    </w:hyperlink>
                                  </w:p>
                                  <w:p w:rsidR="005119FC" w:rsidRPr="005119FC" w:rsidRDefault="005119FC" w:rsidP="005119FC">
                                    <w:pPr>
                                      <w:spacing w:after="0" w:line="240" w:lineRule="auto"/>
                                      <w:rPr>
                                        <w:rFonts w:ascii="Arial" w:eastAsia="Times New Roman" w:hAnsi="Arial" w:cs="Arial"/>
                                        <w:color w:val="444444"/>
                                        <w:sz w:val="18"/>
                                        <w:szCs w:val="18"/>
                                        <w:lang w:eastAsia="fr-FR"/>
                                      </w:rPr>
                                    </w:pPr>
                                  </w:p>
                                </w:tc>
                              </w:tr>
                            </w:tbl>
                            <w:p w:rsidR="005119FC" w:rsidRPr="005119FC" w:rsidRDefault="005119FC" w:rsidP="005119FC">
                              <w:pPr>
                                <w:spacing w:after="0" w:line="240" w:lineRule="auto"/>
                                <w:rPr>
                                  <w:rFonts w:ascii="Arial" w:eastAsia="Times New Roman" w:hAnsi="Arial" w:cs="Arial"/>
                                  <w:color w:val="444444"/>
                                  <w:sz w:val="18"/>
                                  <w:szCs w:val="18"/>
                                  <w:lang w:eastAsia="fr-FR"/>
                                </w:rPr>
                              </w:pPr>
                            </w:p>
                          </w:tc>
                        </w:tr>
                      </w:tbl>
                      <w:p w:rsidR="005119FC" w:rsidRPr="005119FC" w:rsidRDefault="005119FC" w:rsidP="005119FC">
                        <w:pPr>
                          <w:spacing w:after="0" w:line="240" w:lineRule="auto"/>
                          <w:rPr>
                            <w:rFonts w:ascii="Arial" w:eastAsia="Times New Roman" w:hAnsi="Arial" w:cs="Arial"/>
                            <w:vanish/>
                            <w:color w:val="444444"/>
                            <w:sz w:val="18"/>
                            <w:szCs w:val="18"/>
                            <w:lang w:eastAsia="fr-FR"/>
                          </w:rPr>
                        </w:pPr>
                      </w:p>
                      <w:tbl>
                        <w:tblPr>
                          <w:tblW w:w="0" w:type="auto"/>
                          <w:shd w:val="clear" w:color="auto" w:fill="FFFFFF"/>
                          <w:tblCellMar>
                            <w:left w:w="0" w:type="dxa"/>
                            <w:right w:w="0" w:type="dxa"/>
                          </w:tblCellMar>
                          <w:tblLook w:val="04A0" w:firstRow="1" w:lastRow="0" w:firstColumn="1" w:lastColumn="0" w:noHBand="0" w:noVBand="1"/>
                        </w:tblPr>
                        <w:tblGrid>
                          <w:gridCol w:w="6"/>
                          <w:gridCol w:w="8700"/>
                        </w:tblGrid>
                        <w:tr w:rsidR="005119FC" w:rsidRPr="005119FC">
                          <w:tc>
                            <w:tcPr>
                              <w:tcW w:w="0" w:type="auto"/>
                              <w:shd w:val="clear" w:color="auto" w:fill="FFFFFF"/>
                              <w:vAlign w:val="center"/>
                              <w:hideMark/>
                            </w:tcPr>
                            <w:p w:rsidR="005119FC" w:rsidRPr="005119FC" w:rsidRDefault="005119FC" w:rsidP="005119FC">
                              <w:pPr>
                                <w:spacing w:after="0" w:line="240" w:lineRule="auto"/>
                                <w:rPr>
                                  <w:rFonts w:ascii="Arial" w:eastAsia="Times New Roman" w:hAnsi="Arial" w:cs="Arial"/>
                                  <w:color w:val="444444"/>
                                  <w:sz w:val="18"/>
                                  <w:szCs w:val="18"/>
                                  <w:lang w:eastAsia="fr-FR"/>
                                </w:rPr>
                              </w:pPr>
                            </w:p>
                          </w:tc>
                          <w:tc>
                            <w:tcPr>
                              <w:tcW w:w="8700" w:type="dxa"/>
                              <w:shd w:val="clear" w:color="auto" w:fill="FFFFFF"/>
                              <w:tcMar>
                                <w:top w:w="75" w:type="dxa"/>
                                <w:left w:w="0" w:type="dxa"/>
                                <w:bottom w:w="75" w:type="dxa"/>
                                <w:right w:w="0" w:type="dxa"/>
                              </w:tcMar>
                              <w:hideMark/>
                            </w:tcPr>
                            <w:tbl>
                              <w:tblPr>
                                <w:tblW w:w="8475" w:type="dxa"/>
                                <w:shd w:val="clear" w:color="auto" w:fill="FFFFFF"/>
                                <w:tblCellMar>
                                  <w:left w:w="0" w:type="dxa"/>
                                  <w:right w:w="0" w:type="dxa"/>
                                </w:tblCellMar>
                                <w:tblLook w:val="04A0" w:firstRow="1" w:lastRow="0" w:firstColumn="1" w:lastColumn="0" w:noHBand="0" w:noVBand="1"/>
                              </w:tblPr>
                              <w:tblGrid>
                                <w:gridCol w:w="8475"/>
                              </w:tblGrid>
                              <w:tr w:rsidR="005119FC" w:rsidRPr="005119FC">
                                <w:tc>
                                  <w:tcPr>
                                    <w:tcW w:w="0" w:type="auto"/>
                                    <w:shd w:val="clear" w:color="auto" w:fill="FFFFFF"/>
                                    <w:tcMar>
                                      <w:top w:w="75" w:type="dxa"/>
                                      <w:left w:w="75"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5119FC" w:rsidRPr="005119FC">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666"/>
                                          </w:tblGrid>
                                          <w:tr w:rsidR="005119FC" w:rsidRPr="005119FC">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650"/>
                                                </w:tblGrid>
                                                <w:tr w:rsidR="005119FC" w:rsidRPr="005119FC">
                                                  <w:trPr>
                                                    <w:tblCellSpacing w:w="0" w:type="dxa"/>
                                                  </w:trPr>
                                                  <w:tc>
                                                    <w:tcPr>
                                                      <w:tcW w:w="0" w:type="auto"/>
                                                      <w:tcBorders>
                                                        <w:top w:val="single" w:sz="6" w:space="0" w:color="444444"/>
                                                        <w:left w:val="single" w:sz="6" w:space="0" w:color="444444"/>
                                                        <w:bottom w:val="single" w:sz="6" w:space="0" w:color="444444"/>
                                                        <w:right w:val="single" w:sz="6" w:space="0" w:color="444444"/>
                                                      </w:tcBorders>
                                                      <w:shd w:val="clear" w:color="auto" w:fill="656565"/>
                                                      <w:vAlign w:val="center"/>
                                                      <w:hideMark/>
                                                    </w:tcPr>
                                                    <w:tbl>
                                                      <w:tblPr>
                                                        <w:tblW w:w="0" w:type="auto"/>
                                                        <w:jc w:val="center"/>
                                                        <w:tblCellSpacing w:w="7" w:type="dxa"/>
                                                        <w:tblCellMar>
                                                          <w:top w:w="180" w:type="dxa"/>
                                                          <w:left w:w="180" w:type="dxa"/>
                                                          <w:bottom w:w="180" w:type="dxa"/>
                                                          <w:right w:w="180" w:type="dxa"/>
                                                        </w:tblCellMar>
                                                        <w:tblLook w:val="04A0" w:firstRow="1" w:lastRow="0" w:firstColumn="1" w:lastColumn="0" w:noHBand="0" w:noVBand="1"/>
                                                      </w:tblPr>
                                                      <w:tblGrid>
                                                        <w:gridCol w:w="2620"/>
                                                      </w:tblGrid>
                                                      <w:tr w:rsidR="005119FC" w:rsidRPr="005119FC" w:rsidTr="005119FC">
                                                        <w:trPr>
                                                          <w:tblCellSpacing w:w="7" w:type="dxa"/>
                                                          <w:jc w:val="center"/>
                                                        </w:trPr>
                                                        <w:tc>
                                                          <w:tcPr>
                                                            <w:tcW w:w="0" w:type="auto"/>
                                                            <w:vAlign w:val="center"/>
                                                            <w:hideMark/>
                                                          </w:tcPr>
                                                          <w:p w:rsidR="005119FC" w:rsidRPr="005119FC" w:rsidRDefault="005119FC" w:rsidP="005119FC">
                                                            <w:pPr>
                                                              <w:spacing w:after="0" w:line="240" w:lineRule="auto"/>
                                                              <w:rPr>
                                                                <w:rFonts w:ascii="Times New Roman" w:eastAsia="Times New Roman" w:hAnsi="Times New Roman" w:cs="Times New Roman"/>
                                                                <w:sz w:val="24"/>
                                                                <w:szCs w:val="24"/>
                                                                <w:lang w:eastAsia="fr-FR"/>
                                                              </w:rPr>
                                                            </w:pPr>
                                                            <w:hyperlink r:id="rId8" w:history="1">
                                                              <w:r w:rsidRPr="005119FC">
                                                                <w:rPr>
                                                                  <w:rFonts w:ascii="Arial" w:eastAsia="Times New Roman" w:hAnsi="Arial" w:cs="Arial"/>
                                                                  <w:color w:val="FFFFFF"/>
                                                                  <w:sz w:val="18"/>
                                                                  <w:szCs w:val="18"/>
                                                                  <w:u w:val="single"/>
                                                                  <w:bdr w:val="none" w:sz="0" w:space="0" w:color="auto" w:frame="1"/>
                                                                  <w:lang w:eastAsia="fr-FR"/>
                                                                </w:rPr>
                                                                <w:t xml:space="preserve">Télécharger le communiqué </w:t>
                                                              </w:r>
                                                            </w:hyperlink>
                                                          </w:p>
                                                        </w:tc>
                                                      </w:tr>
                                                    </w:tbl>
                                                    <w:p w:rsidR="005119FC" w:rsidRPr="005119FC" w:rsidRDefault="005119FC" w:rsidP="005119FC">
                                                      <w:pPr>
                                                        <w:spacing w:after="0" w:line="240" w:lineRule="auto"/>
                                                        <w:jc w:val="center"/>
                                                        <w:rPr>
                                                          <w:rFonts w:ascii="Times New Roman" w:eastAsia="Times New Roman" w:hAnsi="Times New Roman" w:cs="Times New Roman"/>
                                                          <w:sz w:val="24"/>
                                                          <w:szCs w:val="24"/>
                                                          <w:lang w:eastAsia="fr-FR"/>
                                                        </w:rPr>
                                                      </w:pPr>
                                                    </w:p>
                                                  </w:tc>
                                                </w:tr>
                                              </w:tbl>
                                              <w:p w:rsidR="005119FC" w:rsidRPr="005119FC" w:rsidRDefault="005119FC" w:rsidP="005119FC">
                                                <w:pPr>
                                                  <w:spacing w:after="0" w:line="240" w:lineRule="auto"/>
                                                  <w:rPr>
                                                    <w:rFonts w:ascii="Times New Roman" w:eastAsia="Times New Roman" w:hAnsi="Times New Roman" w:cs="Times New Roman"/>
                                                    <w:sz w:val="24"/>
                                                    <w:szCs w:val="24"/>
                                                    <w:lang w:eastAsia="fr-FR"/>
                                                  </w:rPr>
                                                </w:pPr>
                                              </w:p>
                                            </w:tc>
                                          </w:tr>
                                        </w:tbl>
                                        <w:p w:rsidR="005119FC" w:rsidRPr="005119FC" w:rsidRDefault="005119FC" w:rsidP="005119FC">
                                          <w:pPr>
                                            <w:spacing w:after="0" w:line="240" w:lineRule="auto"/>
                                            <w:rPr>
                                              <w:rFonts w:ascii="Times New Roman" w:eastAsia="Times New Roman" w:hAnsi="Times New Roman" w:cs="Times New Roman"/>
                                              <w:sz w:val="24"/>
                                              <w:szCs w:val="24"/>
                                              <w:lang w:eastAsia="fr-FR"/>
                                            </w:rPr>
                                          </w:pPr>
                                        </w:p>
                                      </w:tc>
                                    </w:tr>
                                  </w:tbl>
                                  <w:p w:rsidR="005119FC" w:rsidRPr="005119FC" w:rsidRDefault="005119FC" w:rsidP="005119FC">
                                    <w:pPr>
                                      <w:spacing w:after="0" w:line="240" w:lineRule="auto"/>
                                      <w:rPr>
                                        <w:rFonts w:ascii="Arial" w:eastAsia="Times New Roman" w:hAnsi="Arial" w:cs="Arial"/>
                                        <w:color w:val="444444"/>
                                        <w:sz w:val="18"/>
                                        <w:szCs w:val="18"/>
                                        <w:lang w:eastAsia="fr-FR"/>
                                      </w:rPr>
                                    </w:pPr>
                                  </w:p>
                                </w:tc>
                              </w:tr>
                            </w:tbl>
                            <w:p w:rsidR="005119FC" w:rsidRPr="005119FC" w:rsidRDefault="005119FC" w:rsidP="005119FC">
                              <w:pPr>
                                <w:spacing w:after="0" w:line="240" w:lineRule="auto"/>
                                <w:rPr>
                                  <w:rFonts w:ascii="Arial" w:eastAsia="Times New Roman" w:hAnsi="Arial" w:cs="Arial"/>
                                  <w:color w:val="444444"/>
                                  <w:sz w:val="18"/>
                                  <w:szCs w:val="18"/>
                                  <w:lang w:eastAsia="fr-FR"/>
                                </w:rPr>
                              </w:pPr>
                            </w:p>
                          </w:tc>
                        </w:tr>
                      </w:tbl>
                      <w:p w:rsidR="005119FC" w:rsidRPr="005119FC" w:rsidRDefault="005119FC" w:rsidP="005119FC">
                        <w:pPr>
                          <w:spacing w:after="0" w:line="240" w:lineRule="auto"/>
                          <w:rPr>
                            <w:rFonts w:ascii="Arial" w:eastAsia="Times New Roman" w:hAnsi="Arial" w:cs="Arial"/>
                            <w:color w:val="444444"/>
                            <w:sz w:val="18"/>
                            <w:szCs w:val="18"/>
                            <w:lang w:eastAsia="fr-FR"/>
                          </w:rPr>
                        </w:pPr>
                      </w:p>
                    </w:tc>
                  </w:tr>
                </w:tbl>
                <w:p w:rsidR="005119FC" w:rsidRPr="005119FC" w:rsidRDefault="005119FC" w:rsidP="005119FC">
                  <w:pPr>
                    <w:spacing w:after="0" w:line="240" w:lineRule="auto"/>
                    <w:rPr>
                      <w:rFonts w:ascii="Arial" w:eastAsia="Times New Roman" w:hAnsi="Arial" w:cs="Arial"/>
                      <w:color w:val="444444"/>
                      <w:sz w:val="18"/>
                      <w:szCs w:val="18"/>
                      <w:lang w:eastAsia="fr-FR"/>
                    </w:rPr>
                  </w:pPr>
                </w:p>
              </w:tc>
            </w:tr>
          </w:tbl>
          <w:p w:rsidR="005119FC" w:rsidRPr="005119FC" w:rsidRDefault="005119FC" w:rsidP="005119FC">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6"/>
            </w:tblGrid>
            <w:tr w:rsidR="005119FC" w:rsidRPr="005119FC">
              <w:trPr>
                <w:trHeight w:val="150"/>
                <w:jc w:val="center"/>
              </w:trPr>
              <w:tc>
                <w:tcPr>
                  <w:tcW w:w="0" w:type="auto"/>
                  <w:vAlign w:val="center"/>
                  <w:hideMark/>
                </w:tcPr>
                <w:p w:rsidR="005119FC" w:rsidRPr="005119FC" w:rsidRDefault="005119FC" w:rsidP="005119FC">
                  <w:pPr>
                    <w:spacing w:after="0" w:line="240" w:lineRule="auto"/>
                    <w:rPr>
                      <w:rFonts w:ascii="Times New Roman" w:eastAsia="Times New Roman" w:hAnsi="Times New Roman" w:cs="Times New Roman"/>
                      <w:sz w:val="2"/>
                      <w:szCs w:val="2"/>
                      <w:lang w:eastAsia="fr-FR"/>
                    </w:rPr>
                  </w:pPr>
                  <w:r w:rsidRPr="005119FC">
                    <w:rPr>
                      <w:rFonts w:ascii="Times New Roman" w:eastAsia="Times New Roman" w:hAnsi="Times New Roman" w:cs="Times New Roman"/>
                      <w:sz w:val="2"/>
                      <w:szCs w:val="2"/>
                      <w:lang w:eastAsia="fr-FR"/>
                    </w:rPr>
                    <w:t> </w:t>
                  </w:r>
                </w:p>
              </w:tc>
            </w:tr>
          </w:tbl>
          <w:p w:rsidR="005119FC" w:rsidRPr="005119FC" w:rsidRDefault="005119FC" w:rsidP="005119FC">
            <w:pPr>
              <w:spacing w:after="0" w:line="240" w:lineRule="auto"/>
              <w:jc w:val="center"/>
              <w:rPr>
                <w:rFonts w:ascii="Times New Roman" w:eastAsia="Times New Roman" w:hAnsi="Times New Roman" w:cs="Times New Roman"/>
                <w:vanish/>
                <w:sz w:val="24"/>
                <w:szCs w:val="24"/>
                <w:lang w:eastAsia="fr-FR"/>
              </w:rPr>
            </w:pPr>
          </w:p>
          <w:tbl>
            <w:tblPr>
              <w:tblW w:w="9000" w:type="dxa"/>
              <w:jc w:val="center"/>
              <w:tblCellMar>
                <w:top w:w="150" w:type="dxa"/>
                <w:left w:w="150" w:type="dxa"/>
                <w:bottom w:w="150" w:type="dxa"/>
                <w:right w:w="150" w:type="dxa"/>
              </w:tblCellMar>
              <w:tblLook w:val="04A0" w:firstRow="1" w:lastRow="0" w:firstColumn="1" w:lastColumn="0" w:noHBand="0" w:noVBand="1"/>
            </w:tblPr>
            <w:tblGrid>
              <w:gridCol w:w="9000"/>
            </w:tblGrid>
            <w:tr w:rsidR="005119FC" w:rsidRPr="005119FC">
              <w:trPr>
                <w:jc w:val="center"/>
              </w:trPr>
              <w:tc>
                <w:tcPr>
                  <w:tcW w:w="0" w:type="auto"/>
                  <w:tcBorders>
                    <w:top w:val="nil"/>
                    <w:left w:val="nil"/>
                    <w:bottom w:val="nil"/>
                    <w:right w:val="nil"/>
                  </w:tcBorders>
                  <w:shd w:val="clear" w:color="auto" w:fill="EEEEEE"/>
                  <w:vAlign w:val="center"/>
                  <w:hideMark/>
                </w:tcPr>
                <w:tbl>
                  <w:tblPr>
                    <w:tblW w:w="5000" w:type="pct"/>
                    <w:tblCellMar>
                      <w:left w:w="0" w:type="dxa"/>
                      <w:right w:w="0" w:type="dxa"/>
                    </w:tblCellMar>
                    <w:tblLook w:val="04A0" w:firstRow="1" w:lastRow="0" w:firstColumn="1" w:lastColumn="0" w:noHBand="0" w:noVBand="1"/>
                  </w:tblPr>
                  <w:tblGrid>
                    <w:gridCol w:w="8692"/>
                    <w:gridCol w:w="8"/>
                  </w:tblGrid>
                  <w:tr w:rsidR="005119FC" w:rsidRPr="005119FC">
                    <w:tc>
                      <w:tcPr>
                        <w:tcW w:w="0" w:type="auto"/>
                        <w:tcBorders>
                          <w:top w:val="nil"/>
                          <w:left w:val="nil"/>
                          <w:bottom w:val="nil"/>
                          <w:right w:val="nil"/>
                        </w:tcBorders>
                        <w:shd w:val="clear" w:color="auto" w:fill="EEEEEE"/>
                        <w:hideMark/>
                      </w:tcPr>
                      <w:p w:rsidR="005119FC" w:rsidRPr="005119FC" w:rsidRDefault="005119FC" w:rsidP="005119FC">
                        <w:pPr>
                          <w:spacing w:after="0" w:line="240" w:lineRule="auto"/>
                          <w:rPr>
                            <w:rFonts w:ascii="Arial" w:eastAsia="Times New Roman" w:hAnsi="Arial" w:cs="Arial"/>
                            <w:color w:val="444444"/>
                            <w:sz w:val="17"/>
                            <w:szCs w:val="17"/>
                            <w:lang w:eastAsia="fr-FR"/>
                          </w:rPr>
                        </w:pPr>
                        <w:r w:rsidRPr="005119FC">
                          <w:rPr>
                            <w:rFonts w:ascii="Arial" w:eastAsia="Times New Roman" w:hAnsi="Arial" w:cs="Arial"/>
                            <w:color w:val="444444"/>
                            <w:sz w:val="17"/>
                            <w:szCs w:val="17"/>
                            <w:lang w:eastAsia="fr-FR"/>
                          </w:rPr>
                          <w:t xml:space="preserve">Cet email a été envoyé à </w:t>
                        </w:r>
                        <w:hyperlink r:id="rId9" w:history="1">
                          <w:r w:rsidRPr="005119FC">
                            <w:rPr>
                              <w:rFonts w:ascii="Arial" w:eastAsia="Times New Roman" w:hAnsi="Arial" w:cs="Arial"/>
                              <w:color w:val="000000"/>
                              <w:sz w:val="17"/>
                              <w:szCs w:val="17"/>
                              <w:u w:val="single"/>
                              <w:bdr w:val="none" w:sz="0" w:space="0" w:color="auto" w:frame="1"/>
                              <w:lang w:eastAsia="fr-FR"/>
                            </w:rPr>
                            <w:t>pierre-yves.pecqueux@cef.fr</w:t>
                          </w:r>
                        </w:hyperlink>
                        <w:r w:rsidRPr="005119FC">
                          <w:rPr>
                            <w:rFonts w:ascii="Arial" w:eastAsia="Times New Roman" w:hAnsi="Arial" w:cs="Arial"/>
                            <w:color w:val="444444"/>
                            <w:sz w:val="17"/>
                            <w:szCs w:val="17"/>
                            <w:lang w:eastAsia="fr-FR"/>
                          </w:rPr>
                          <w:t xml:space="preserve">, </w:t>
                        </w:r>
                        <w:hyperlink r:id="rId10" w:history="1">
                          <w:r w:rsidRPr="005119FC">
                            <w:rPr>
                              <w:rFonts w:ascii="Arial" w:eastAsia="Times New Roman" w:hAnsi="Arial" w:cs="Arial"/>
                              <w:color w:val="000000"/>
                              <w:sz w:val="17"/>
                              <w:szCs w:val="17"/>
                              <w:u w:val="single"/>
                              <w:bdr w:val="none" w:sz="0" w:space="0" w:color="auto" w:frame="1"/>
                              <w:lang w:eastAsia="fr-FR"/>
                            </w:rPr>
                            <w:t>cliquez ici pour vous désabonner</w:t>
                          </w:r>
                        </w:hyperlink>
                        <w:r w:rsidRPr="005119FC">
                          <w:rPr>
                            <w:rFonts w:ascii="Arial" w:eastAsia="Times New Roman" w:hAnsi="Arial" w:cs="Arial"/>
                            <w:color w:val="444444"/>
                            <w:sz w:val="17"/>
                            <w:szCs w:val="17"/>
                            <w:lang w:eastAsia="fr-FR"/>
                          </w:rPr>
                          <w:t>.</w:t>
                        </w:r>
                      </w:p>
                    </w:tc>
                    <w:tc>
                      <w:tcPr>
                        <w:tcW w:w="0" w:type="auto"/>
                        <w:hideMark/>
                      </w:tcPr>
                      <w:p w:rsidR="005119FC" w:rsidRPr="005119FC" w:rsidRDefault="005119FC" w:rsidP="005119FC">
                        <w:pPr>
                          <w:spacing w:after="0" w:line="240" w:lineRule="auto"/>
                          <w:jc w:val="right"/>
                          <w:rPr>
                            <w:rFonts w:ascii="Times New Roman" w:eastAsia="Times New Roman" w:hAnsi="Times New Roman" w:cs="Times New Roman"/>
                            <w:sz w:val="24"/>
                            <w:szCs w:val="24"/>
                            <w:lang w:eastAsia="fr-FR"/>
                          </w:rPr>
                        </w:pPr>
                      </w:p>
                    </w:tc>
                  </w:tr>
                </w:tbl>
                <w:p w:rsidR="005119FC" w:rsidRPr="005119FC" w:rsidRDefault="005119FC" w:rsidP="005119FC">
                  <w:pPr>
                    <w:spacing w:after="0" w:line="240" w:lineRule="auto"/>
                    <w:rPr>
                      <w:rFonts w:ascii="Arial" w:eastAsia="Times New Roman" w:hAnsi="Arial" w:cs="Arial"/>
                      <w:color w:val="444444"/>
                      <w:sz w:val="17"/>
                      <w:szCs w:val="17"/>
                      <w:lang w:eastAsia="fr-FR"/>
                    </w:rPr>
                  </w:pPr>
                </w:p>
              </w:tc>
            </w:tr>
          </w:tbl>
          <w:p w:rsidR="005119FC" w:rsidRPr="005119FC" w:rsidRDefault="005119FC" w:rsidP="005119FC">
            <w:pPr>
              <w:spacing w:after="0" w:line="240" w:lineRule="auto"/>
              <w:jc w:val="center"/>
              <w:rPr>
                <w:rFonts w:ascii="Times New Roman" w:eastAsia="Times New Roman" w:hAnsi="Times New Roman" w:cs="Times New Roman"/>
                <w:sz w:val="24"/>
                <w:szCs w:val="24"/>
                <w:lang w:eastAsia="fr-FR"/>
              </w:rPr>
            </w:pPr>
          </w:p>
        </w:tc>
        <w:bookmarkStart w:id="0" w:name="_GoBack"/>
        <w:bookmarkEnd w:id="0"/>
      </w:tr>
    </w:tbl>
    <w:p w:rsidR="00AD0050" w:rsidRDefault="00AD0050"/>
    <w:sectPr w:rsidR="00AD0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FC"/>
    <w:rsid w:val="005119FC"/>
    <w:rsid w:val="008E7AB8"/>
    <w:rsid w:val="00A73762"/>
    <w:rsid w:val="00AD0050"/>
    <w:rsid w:val="00AD5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62"/>
  </w:style>
  <w:style w:type="paragraph" w:styleId="Titre1">
    <w:name w:val="heading 1"/>
    <w:basedOn w:val="Normal"/>
    <w:next w:val="Normal"/>
    <w:link w:val="Titre1Car"/>
    <w:uiPriority w:val="9"/>
    <w:qFormat/>
    <w:rsid w:val="00A7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5119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3762"/>
    <w:pPr>
      <w:spacing w:after="0" w:line="240" w:lineRule="auto"/>
    </w:pPr>
  </w:style>
  <w:style w:type="character" w:customStyle="1" w:styleId="Titre1Car">
    <w:name w:val="Titre 1 Car"/>
    <w:basedOn w:val="Policepardfaut"/>
    <w:link w:val="Titre1"/>
    <w:uiPriority w:val="9"/>
    <w:rsid w:val="00A73762"/>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5119FC"/>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119FC"/>
    <w:rPr>
      <w:color w:val="0000FF"/>
      <w:u w:val="single"/>
    </w:rPr>
  </w:style>
  <w:style w:type="paragraph" w:styleId="NormalWeb">
    <w:name w:val="Normal (Web)"/>
    <w:basedOn w:val="Normal"/>
    <w:uiPriority w:val="99"/>
    <w:semiHidden/>
    <w:unhideWhenUsed/>
    <w:rsid w:val="005119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19FC"/>
    <w:rPr>
      <w:b/>
      <w:bCs/>
    </w:rPr>
  </w:style>
  <w:style w:type="character" w:styleId="Accentuation">
    <w:name w:val="Emphasis"/>
    <w:basedOn w:val="Policepardfaut"/>
    <w:uiPriority w:val="20"/>
    <w:qFormat/>
    <w:rsid w:val="005119FC"/>
    <w:rPr>
      <w:i/>
      <w:iCs/>
    </w:rPr>
  </w:style>
  <w:style w:type="paragraph" w:styleId="Textedebulles">
    <w:name w:val="Balloon Text"/>
    <w:basedOn w:val="Normal"/>
    <w:link w:val="TextedebullesCar"/>
    <w:uiPriority w:val="99"/>
    <w:semiHidden/>
    <w:unhideWhenUsed/>
    <w:rsid w:val="005119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62"/>
  </w:style>
  <w:style w:type="paragraph" w:styleId="Titre1">
    <w:name w:val="heading 1"/>
    <w:basedOn w:val="Normal"/>
    <w:next w:val="Normal"/>
    <w:link w:val="Titre1Car"/>
    <w:uiPriority w:val="9"/>
    <w:qFormat/>
    <w:rsid w:val="00A73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link w:val="Titre4Car"/>
    <w:uiPriority w:val="9"/>
    <w:qFormat/>
    <w:rsid w:val="005119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3762"/>
    <w:pPr>
      <w:spacing w:after="0" w:line="240" w:lineRule="auto"/>
    </w:pPr>
  </w:style>
  <w:style w:type="character" w:customStyle="1" w:styleId="Titre1Car">
    <w:name w:val="Titre 1 Car"/>
    <w:basedOn w:val="Policepardfaut"/>
    <w:link w:val="Titre1"/>
    <w:uiPriority w:val="9"/>
    <w:rsid w:val="00A73762"/>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5119FC"/>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119FC"/>
    <w:rPr>
      <w:color w:val="0000FF"/>
      <w:u w:val="single"/>
    </w:rPr>
  </w:style>
  <w:style w:type="paragraph" w:styleId="NormalWeb">
    <w:name w:val="Normal (Web)"/>
    <w:basedOn w:val="Normal"/>
    <w:uiPriority w:val="99"/>
    <w:semiHidden/>
    <w:unhideWhenUsed/>
    <w:rsid w:val="005119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19FC"/>
    <w:rPr>
      <w:b/>
      <w:bCs/>
    </w:rPr>
  </w:style>
  <w:style w:type="character" w:styleId="Accentuation">
    <w:name w:val="Emphasis"/>
    <w:basedOn w:val="Policepardfaut"/>
    <w:uiPriority w:val="20"/>
    <w:qFormat/>
    <w:rsid w:val="005119FC"/>
    <w:rPr>
      <w:i/>
      <w:iCs/>
    </w:rPr>
  </w:style>
  <w:style w:type="paragraph" w:styleId="Textedebulles">
    <w:name w:val="Balloon Text"/>
    <w:basedOn w:val="Normal"/>
    <w:link w:val="TextedebullesCar"/>
    <w:uiPriority w:val="99"/>
    <w:semiHidden/>
    <w:unhideWhenUsed/>
    <w:rsid w:val="005119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71244">
      <w:bodyDiv w:val="1"/>
      <w:marLeft w:val="0"/>
      <w:marRight w:val="0"/>
      <w:marTop w:val="0"/>
      <w:marBottom w:val="0"/>
      <w:divBdr>
        <w:top w:val="none" w:sz="0" w:space="0" w:color="auto"/>
        <w:left w:val="none" w:sz="0" w:space="0" w:color="auto"/>
        <w:bottom w:val="none" w:sz="0" w:space="0" w:color="auto"/>
        <w:right w:val="none" w:sz="0" w:space="0" w:color="auto"/>
      </w:divBdr>
      <w:divsChild>
        <w:div w:id="987979048">
          <w:marLeft w:val="0"/>
          <w:marRight w:val="0"/>
          <w:marTop w:val="0"/>
          <w:marBottom w:val="0"/>
          <w:divBdr>
            <w:top w:val="none" w:sz="0" w:space="0" w:color="auto"/>
            <w:left w:val="none" w:sz="0" w:space="0" w:color="auto"/>
            <w:bottom w:val="none" w:sz="0" w:space="0" w:color="auto"/>
            <w:right w:val="none" w:sz="0" w:space="0" w:color="auto"/>
          </w:divBdr>
        </w:div>
        <w:div w:id="166130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ise.catholique.fr/espace-presse/communiques-de-presse/420321-divorcer-sans-juge-un-projet-a-lencontre-de-linteret-des-familles-et-de-la-societe/" TargetMode="External"/><Relationship Id="rId3" Type="http://schemas.openxmlformats.org/officeDocument/2006/relationships/settings" Target="settings.xml"/><Relationship Id="rId7" Type="http://schemas.openxmlformats.org/officeDocument/2006/relationships/hyperlink" Target="mailto:constance.pluviaud@cef.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1%2072%2036%2068%2042%20%E2%80%93%2006%202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mail.eglise.catholique.fr/unsub?hl=fr&amp;a=mtTlEC&amp;b=8794c56c&amp;c=sz6r&amp;d=dbc6de72&amp;e=9dfabaf1&amp;email=pierre-yves.pecqueux%40cef.fr" TargetMode="External"/><Relationship Id="rId4" Type="http://schemas.openxmlformats.org/officeDocument/2006/relationships/webSettings" Target="webSettings.xml"/><Relationship Id="rId9" Type="http://schemas.openxmlformats.org/officeDocument/2006/relationships/hyperlink" Target="mailto:pierre-yves.pecqueux@ce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dc:creator>
  <cp:lastModifiedBy>R T</cp:lastModifiedBy>
  <cp:revision>1</cp:revision>
  <dcterms:created xsi:type="dcterms:W3CDTF">2016-05-30T12:25:00Z</dcterms:created>
  <dcterms:modified xsi:type="dcterms:W3CDTF">2016-05-30T12:27:00Z</dcterms:modified>
</cp:coreProperties>
</file>